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7A68" w14:textId="00C3239A" w:rsidR="002077B5" w:rsidRPr="002077B5" w:rsidRDefault="00537C95" w:rsidP="002077B5">
      <w:pPr>
        <w:pStyle w:val="BasicParagraph"/>
        <w:suppressAutoHyphens/>
        <w:spacing w:after="180" w:line="240" w:lineRule="auto"/>
        <w:ind w:left="274"/>
        <w:rPr>
          <w:rFonts w:asciiTheme="minorHAnsi" w:hAnsiTheme="minorHAnsi" w:cstheme="minorHAnsi"/>
          <w:color w:val="263746"/>
          <w:spacing w:val="-2"/>
          <w:sz w:val="20"/>
          <w:szCs w:val="20"/>
        </w:rPr>
      </w:pPr>
      <w:r w:rsidRPr="003363A3">
        <w:rPr>
          <w:rFonts w:asciiTheme="minorHAnsi" w:hAnsiTheme="minorHAnsi" w:cstheme="minorHAnsi"/>
          <w:noProof/>
          <w:color w:val="26374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04CA599" wp14:editId="1CDB9D00">
                <wp:simplePos x="0" y="0"/>
                <wp:positionH relativeFrom="margin">
                  <wp:posOffset>66675</wp:posOffset>
                </wp:positionH>
                <wp:positionV relativeFrom="paragraph">
                  <wp:posOffset>1905</wp:posOffset>
                </wp:positionV>
                <wp:extent cx="6648450" cy="1114425"/>
                <wp:effectExtent l="0" t="0" r="0" b="9525"/>
                <wp:wrapSquare wrapText="bothSides"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C3EC0" w14:textId="5A00636E" w:rsidR="00537C95" w:rsidRPr="00D6256A" w:rsidRDefault="002077B5" w:rsidP="00537C95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2077B5"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  <w:t>Planification</w:t>
                            </w:r>
                            <w:proofErr w:type="spellEnd"/>
                            <w:r w:rsidRPr="002077B5"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  <w:t xml:space="preserve">: options de régime de </w:t>
                            </w:r>
                            <w:proofErr w:type="spellStart"/>
                            <w:r w:rsidRPr="002077B5"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  <w:t>retraite</w:t>
                            </w:r>
                            <w:proofErr w:type="spellEnd"/>
                            <w:r w:rsidRPr="002077B5"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  <w:t xml:space="preserve"> à </w:t>
                            </w:r>
                            <w:proofErr w:type="spellStart"/>
                            <w:r w:rsidRPr="002077B5"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  <w:t>considérer</w:t>
                            </w:r>
                            <w:proofErr w:type="spellEnd"/>
                            <w:r w:rsidRPr="002077B5"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  <w:t xml:space="preserve"> pendant </w:t>
                            </w:r>
                            <w:proofErr w:type="spellStart"/>
                            <w:r w:rsidRPr="002077B5"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  <w:t>l’épidémie</w:t>
                            </w:r>
                            <w:proofErr w:type="spellEnd"/>
                            <w:r w:rsidRPr="002077B5">
                              <w:rPr>
                                <w:rFonts w:cstheme="minorHAnsi"/>
                                <w:b/>
                                <w:bCs/>
                                <w:color w:val="263845" w:themeColor="text1"/>
                                <w:sz w:val="52"/>
                                <w:szCs w:val="52"/>
                              </w:rPr>
                              <w:t xml:space="preserve"> de la COVID-19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CA599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left:0;text-align:left;margin-left:5.25pt;margin-top:.15pt;width:523.5pt;height:87.75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" filled="f" stroked="f">
                <v:textbox>
                  <w:txbxContent>
                    <w:p w14:paraId="7D1C3EC0" w14:textId="5A00636E" w:rsidR="00537C95" w:rsidRPr="00D6256A" w:rsidRDefault="002077B5" w:rsidP="00537C95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</w:pPr>
                      <w:proofErr w:type="spellStart"/>
                      <w:r w:rsidRPr="002077B5"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  <w:t>Planification</w:t>
                      </w:r>
                      <w:proofErr w:type="spellEnd"/>
                      <w:r w:rsidRPr="002077B5"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  <w:t xml:space="preserve">: options de régime de </w:t>
                      </w:r>
                      <w:proofErr w:type="spellStart"/>
                      <w:r w:rsidRPr="002077B5"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  <w:t>retraite</w:t>
                      </w:r>
                      <w:proofErr w:type="spellEnd"/>
                      <w:r w:rsidRPr="002077B5"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  <w:t xml:space="preserve"> à </w:t>
                      </w:r>
                      <w:proofErr w:type="spellStart"/>
                      <w:r w:rsidRPr="002077B5"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  <w:t>considérer</w:t>
                      </w:r>
                      <w:proofErr w:type="spellEnd"/>
                      <w:r w:rsidRPr="002077B5"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  <w:t xml:space="preserve"> pendant </w:t>
                      </w:r>
                      <w:proofErr w:type="spellStart"/>
                      <w:r w:rsidRPr="002077B5"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  <w:t>l’épidémie</w:t>
                      </w:r>
                      <w:proofErr w:type="spellEnd"/>
                      <w:r w:rsidRPr="002077B5">
                        <w:rPr>
                          <w:rFonts w:cstheme="minorHAnsi"/>
                          <w:b/>
                          <w:bCs/>
                          <w:color w:val="263845" w:themeColor="text1"/>
                          <w:sz w:val="52"/>
                          <w:szCs w:val="52"/>
                        </w:rPr>
                        <w:t xml:space="preserve"> de la COVID-19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Les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promoteurs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régimes de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les consultants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régimes de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les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conseillent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sont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territoire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inconnu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raison de la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crise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sanitaire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internationale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causée</w:t>
      </w:r>
      <w:proofErr w:type="spellEnd"/>
      <w:r w:rsidR="002077B5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par le coronavirus (COVID-19).</w:t>
      </w:r>
    </w:p>
    <w:p w14:paraId="53202F80" w14:textId="0BBFA8E9" w:rsidR="002077B5" w:rsidRPr="002077B5" w:rsidRDefault="002077B5" w:rsidP="002077B5">
      <w:pPr>
        <w:pStyle w:val="BasicParagraph"/>
        <w:suppressAutoHyphens/>
        <w:spacing w:after="180"/>
        <w:ind w:left="270"/>
        <w:rPr>
          <w:rFonts w:asciiTheme="minorHAnsi" w:hAnsiTheme="minorHAnsi" w:cstheme="minorHAnsi"/>
          <w:color w:val="263746"/>
          <w:spacing w:val="-2"/>
          <w:sz w:val="20"/>
          <w:szCs w:val="20"/>
        </w:rPr>
      </w:pPr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La conception des régimes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 un impact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significatif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sur les options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offertes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promoteurs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régimes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matière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mesures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d'économie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d'accès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économies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par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employés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article de HUB International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décrit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certaines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options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offertes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promoteurs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régimes à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mesure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que le temps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passe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.</w:t>
      </w:r>
      <w:bookmarkStart w:id="0" w:name="_GoBack"/>
      <w:bookmarkEnd w:id="0"/>
    </w:p>
    <w:p w14:paraId="181C3EC7" w14:textId="4E6ECF94" w:rsidR="00D6256A" w:rsidRPr="00D6256A" w:rsidRDefault="002077B5" w:rsidP="002077B5">
      <w:pPr>
        <w:pStyle w:val="BasicParagraph"/>
        <w:suppressAutoHyphens/>
        <w:spacing w:after="180"/>
        <w:ind w:left="270"/>
        <w:rPr>
          <w:rFonts w:asciiTheme="minorHAnsi" w:hAnsiTheme="minorHAnsi" w:cstheme="minorHAnsi"/>
          <w:color w:val="263746"/>
          <w:spacing w:val="-2"/>
          <w:sz w:val="20"/>
          <w:szCs w:val="20"/>
        </w:rPr>
      </w:pP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Veuillez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noter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article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est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un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aperçu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général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certains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problèmes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et non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une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analyse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d'un régime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d'une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conception de régime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spécifique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De plus, le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paysage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évolue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rapidement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nouvelles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modifications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législatives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suspensions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pourraient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bientôt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s'appliquer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.</w:t>
      </w:r>
    </w:p>
    <w:p w14:paraId="7AC23AD7" w14:textId="48F40129" w:rsidR="003C2D15" w:rsidRDefault="002077B5" w:rsidP="002077B5">
      <w:pPr>
        <w:pStyle w:val="BasicParagraph"/>
        <w:suppressAutoHyphens/>
        <w:spacing w:after="180" w:line="240" w:lineRule="auto"/>
        <w:ind w:left="270" w:firstLine="4"/>
        <w:rPr>
          <w:rFonts w:asciiTheme="minorHAnsi" w:hAnsiTheme="minorHAnsi" w:cstheme="minorHAnsi"/>
          <w:b/>
          <w:bCs/>
          <w:caps/>
          <w:color w:val="0678D5"/>
          <w:spacing w:val="2"/>
          <w:sz w:val="20"/>
          <w:szCs w:val="20"/>
        </w:rPr>
      </w:pPr>
      <w:r w:rsidRPr="002077B5">
        <w:rPr>
          <w:rFonts w:asciiTheme="minorHAnsi" w:hAnsiTheme="minorHAnsi" w:cstheme="minorHAnsi"/>
          <w:b/>
          <w:bCs/>
          <w:caps/>
          <w:color w:val="0678D5"/>
          <w:spacing w:val="2"/>
          <w:sz w:val="20"/>
          <w:szCs w:val="20"/>
        </w:rPr>
        <w:t>Éléments à considérer pour réaliser des économies de coûts dans le régime de retraite de votre entreprise</w:t>
      </w:r>
    </w:p>
    <w:p w14:paraId="337D21C8" w14:textId="77777777" w:rsidR="002077B5" w:rsidRPr="002077B5" w:rsidRDefault="002077B5" w:rsidP="002077B5">
      <w:pPr>
        <w:pStyle w:val="BasicParagraph"/>
        <w:numPr>
          <w:ilvl w:val="0"/>
          <w:numId w:val="13"/>
        </w:numPr>
        <w:suppressAutoHyphens/>
        <w:spacing w:after="180"/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</w:pPr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Régimes REER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collectifs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: </w:t>
      </w:r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entreprises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peuvent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envisager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une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réduction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une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suspension des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l'employeur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régimes REER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Étant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donné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que les régimes REER ne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relèvent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ni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du provincial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ni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du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fédérale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matière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réglementation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disposent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d'une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plus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grande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flexibilité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concerne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financement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d'un régime REER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.</w:t>
      </w:r>
    </w:p>
    <w:p w14:paraId="6285B784" w14:textId="77777777" w:rsidR="002077B5" w:rsidRPr="002077B5" w:rsidRDefault="002077B5" w:rsidP="002077B5">
      <w:pPr>
        <w:pStyle w:val="BasicParagraph"/>
        <w:numPr>
          <w:ilvl w:val="0"/>
          <w:numId w:val="13"/>
        </w:numPr>
        <w:suppressAutoHyphens/>
        <w:spacing w:after="180"/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</w:pPr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Régimes RPDB: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Selon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libellé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du régime,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parrainent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les RPDB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auront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probablement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une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certaine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souplesse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concerne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 RPDB.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Vérifiez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auprès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votre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conseiller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régime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connaître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vos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options. </w:t>
      </w:r>
    </w:p>
    <w:p w14:paraId="3EDE3631" w14:textId="272E4032" w:rsidR="002077B5" w:rsidRPr="002077B5" w:rsidRDefault="002077B5" w:rsidP="002077B5">
      <w:pPr>
        <w:pStyle w:val="BasicParagraph"/>
        <w:numPr>
          <w:ilvl w:val="0"/>
          <w:numId w:val="13"/>
        </w:numPr>
        <w:suppressAutoHyphens/>
        <w:spacing w:after="180"/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</w:pPr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Régimes de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à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déterminées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(RRCD):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Étant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donné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que les régimes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sont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compétence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provinciale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tout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allégement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législatif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permettant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promoteurs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régimes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suspendre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réduire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différer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temporairement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régimes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déterminées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nécessiterait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l'approbation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chaque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province. Pour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l’instant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cette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mesure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est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impossible pour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tous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Si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mesures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devaient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être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mises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œuvre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la suite de la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crise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la Covid-19,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gouvernements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envisageraient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probablement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options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remboursement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les contributions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suspendues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réduites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dans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 cadre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type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d'allégement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.</w:t>
      </w:r>
    </w:p>
    <w:p w14:paraId="04DA586F" w14:textId="6DD1DD93" w:rsidR="00C56F27" w:rsidRPr="00973C3D" w:rsidRDefault="002077B5" w:rsidP="002077B5">
      <w:pPr>
        <w:pStyle w:val="BasicParagraph"/>
        <w:numPr>
          <w:ilvl w:val="0"/>
          <w:numId w:val="13"/>
        </w:numPr>
        <w:suppressAutoHyphens/>
        <w:spacing w:after="180"/>
        <w:rPr>
          <w:rFonts w:asciiTheme="minorHAnsi" w:hAnsiTheme="minorHAnsi" w:cstheme="minorHAnsi"/>
          <w:color w:val="263746"/>
          <w:spacing w:val="-2"/>
          <w:sz w:val="20"/>
          <w:szCs w:val="20"/>
        </w:rPr>
      </w:pP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Mettre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fin à un régime de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à CD: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Mettre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fin à un régime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est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un long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processus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nécessite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la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planification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un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avis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participants et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une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coordination avec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autorités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provinciales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matière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régimes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La cessation du régime ne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serait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généralement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considérée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qu'en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dernier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recours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raison de la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flexibilité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offerte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promoteurs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régimes REER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RPDB,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mettre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fin à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régimes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est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beaucoup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moins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probable.</w:t>
      </w:r>
      <w:r w:rsidR="00B12D68"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</w:p>
    <w:p w14:paraId="11D2C0E9" w14:textId="77777777" w:rsidR="007B4548" w:rsidRDefault="007B4548" w:rsidP="00E20A3B">
      <w:pPr>
        <w:pStyle w:val="BasicParagraph"/>
        <w:suppressAutoHyphens/>
        <w:spacing w:after="180" w:line="240" w:lineRule="auto"/>
        <w:ind w:firstLine="274"/>
        <w:rPr>
          <w:rFonts w:asciiTheme="minorHAnsi" w:hAnsiTheme="minorHAnsi" w:cstheme="minorHAnsi"/>
          <w:b/>
          <w:bCs/>
          <w:caps/>
          <w:color w:val="0678D5"/>
          <w:spacing w:val="2"/>
          <w:sz w:val="20"/>
          <w:szCs w:val="20"/>
        </w:rPr>
      </w:pPr>
    </w:p>
    <w:p w14:paraId="5D3F5308" w14:textId="77777777" w:rsidR="007B4548" w:rsidRDefault="007B4548" w:rsidP="00E20A3B">
      <w:pPr>
        <w:pStyle w:val="BasicParagraph"/>
        <w:suppressAutoHyphens/>
        <w:spacing w:after="180" w:line="240" w:lineRule="auto"/>
        <w:ind w:firstLine="274"/>
        <w:rPr>
          <w:rFonts w:asciiTheme="minorHAnsi" w:hAnsiTheme="minorHAnsi" w:cstheme="minorHAnsi"/>
          <w:b/>
          <w:bCs/>
          <w:caps/>
          <w:color w:val="0678D5"/>
          <w:spacing w:val="2"/>
          <w:sz w:val="20"/>
          <w:szCs w:val="20"/>
        </w:rPr>
      </w:pPr>
    </w:p>
    <w:p w14:paraId="06924314" w14:textId="3DC0BFC7" w:rsidR="00973C3D" w:rsidRDefault="002077B5" w:rsidP="00E20A3B">
      <w:pPr>
        <w:pStyle w:val="BasicParagraph"/>
        <w:suppressAutoHyphens/>
        <w:spacing w:after="180" w:line="240" w:lineRule="auto"/>
        <w:ind w:firstLine="274"/>
        <w:rPr>
          <w:rFonts w:asciiTheme="minorHAnsi" w:hAnsiTheme="minorHAnsi" w:cstheme="minorHAnsi"/>
          <w:b/>
          <w:bCs/>
          <w:caps/>
          <w:color w:val="0678D5"/>
          <w:spacing w:val="2"/>
          <w:sz w:val="20"/>
          <w:szCs w:val="20"/>
        </w:rPr>
      </w:pPr>
      <w:r w:rsidRPr="002077B5">
        <w:rPr>
          <w:rFonts w:asciiTheme="minorHAnsi" w:hAnsiTheme="minorHAnsi" w:cstheme="minorHAnsi"/>
          <w:b/>
          <w:bCs/>
          <w:caps/>
          <w:color w:val="0678D5"/>
          <w:spacing w:val="2"/>
          <w:sz w:val="20"/>
          <w:szCs w:val="20"/>
        </w:rPr>
        <w:lastRenderedPageBreak/>
        <w:t>Éléments à considérer pour l'accès des employés aux fonds des régimes de retraite</w:t>
      </w:r>
      <w:r w:rsidR="00B12D68" w:rsidRPr="003363A3">
        <w:rPr>
          <w:rFonts w:asciiTheme="minorHAnsi" w:hAnsiTheme="minorHAnsi" w:cstheme="minorHAnsi"/>
          <w:b/>
          <w:bCs/>
          <w:caps/>
          <w:color w:val="0678D5"/>
          <w:spacing w:val="2"/>
          <w:sz w:val="20"/>
          <w:szCs w:val="20"/>
        </w:rPr>
        <w:t xml:space="preserve"> </w:t>
      </w:r>
    </w:p>
    <w:p w14:paraId="2D802BED" w14:textId="144D28C1" w:rsidR="002077B5" w:rsidRPr="002077B5" w:rsidRDefault="002077B5" w:rsidP="002077B5">
      <w:pPr>
        <w:pStyle w:val="BasicParagraph"/>
        <w:numPr>
          <w:ilvl w:val="0"/>
          <w:numId w:val="14"/>
        </w:numPr>
        <w:suppressAutoHyphens/>
        <w:spacing w:after="180"/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</w:pP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Arrêt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des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des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employés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à un REER</w:t>
      </w:r>
      <w:r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:</w:t>
      </w:r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toujours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la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possibilité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permettre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employés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suspendre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leurs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égales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«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requises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» à un REER,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mais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si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l’employeur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continue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cotiser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l’employé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continue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évidemment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travailler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et, par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conséquent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la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nécessité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d’éliminer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réduire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les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cotisations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requises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peut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>être</w:t>
      </w:r>
      <w:proofErr w:type="spellEnd"/>
      <w:r w:rsidRPr="002077B5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inutile.</w:t>
      </w:r>
    </w:p>
    <w:p w14:paraId="2921F200" w14:textId="703FDCEC" w:rsidR="002077B5" w:rsidRPr="007B4548" w:rsidRDefault="002077B5" w:rsidP="002077B5">
      <w:pPr>
        <w:pStyle w:val="BasicParagraph"/>
        <w:numPr>
          <w:ilvl w:val="0"/>
          <w:numId w:val="14"/>
        </w:numPr>
        <w:suppressAutoHyphens/>
        <w:spacing w:after="180"/>
        <w:rPr>
          <w:rFonts w:asciiTheme="minorHAnsi" w:hAnsiTheme="minorHAnsi" w:cstheme="minorHAnsi"/>
          <w:color w:val="263746"/>
          <w:spacing w:val="-2"/>
          <w:sz w:val="20"/>
          <w:szCs w:val="20"/>
        </w:rPr>
      </w:pPr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Retr</w:t>
      </w:r>
      <w:r w:rsid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aits</w:t>
      </w:r>
      <w:proofErr w:type="spellEnd"/>
      <w:r w:rsid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d'un régime REER </w:t>
      </w:r>
      <w:proofErr w:type="spellStart"/>
      <w:r w:rsid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collectif</w:t>
      </w:r>
      <w:proofErr w:type="spellEnd"/>
      <w:r w:rsid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:</w:t>
      </w:r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nombreux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régimes REER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parrainés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l'employeur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limitent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l’employé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pendant que la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personne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est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l’emploi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promoteurs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régimes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peuvent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pourraient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souhaiter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accorder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temporairement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exceptions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cette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règle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Afin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préserver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l'intégrité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du régime à long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terme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il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est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important que le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promoteur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applique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l'exception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titre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mesure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temporaire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sur la base des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difficultés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financières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dues à Covid-19,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administré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cas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cas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Il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faut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rappeler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participants au régime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conséquences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financières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fiscales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d'un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d'un REER et les encourager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parler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leur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conseiller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financier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leurs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conseillers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régimes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avant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procéder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.</w:t>
      </w:r>
    </w:p>
    <w:p w14:paraId="3C28F146" w14:textId="25CCE820" w:rsidR="002077B5" w:rsidRPr="007B4548" w:rsidRDefault="002077B5" w:rsidP="007B4548">
      <w:pPr>
        <w:pStyle w:val="BasicParagraph"/>
        <w:numPr>
          <w:ilvl w:val="0"/>
          <w:numId w:val="14"/>
        </w:numPr>
        <w:suppressAutoHyphens/>
        <w:spacing w:after="180"/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</w:pPr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Libérer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un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compte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en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cas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de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difficultés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financières</w:t>
      </w:r>
      <w:proofErr w:type="spellEnd"/>
      <w:r w:rsid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: </w:t>
      </w:r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l'heure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actuelle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lois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sur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normes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le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fédéral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l'Ontario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la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Colombie-Britannique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l'Alberta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permettent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particuliers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demander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directement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institutions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financières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d'accéder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l'épargne-retraite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partir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comptes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immobilisés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à savoir des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comptes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immobilisés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(CRI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REERI) et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fonds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revenu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viager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(FRV),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s'ils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éprouvent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difficultés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financières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demandes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d’accès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fonds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détenus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dans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CRI et des FRV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soumises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des conditions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strictes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notamment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que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revenus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du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demandeur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l'année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doivent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être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inférieurs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un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niveau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spécifié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L’accès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sommes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détenues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dans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régimes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raison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difficultés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financières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est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interdit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dans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toutes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juridictions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.</w:t>
      </w:r>
      <w:r w:rsidRP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</w:p>
    <w:p w14:paraId="301D8AC3" w14:textId="5A915C33" w:rsidR="002077B5" w:rsidRPr="007B4548" w:rsidRDefault="002077B5" w:rsidP="007B4548">
      <w:pPr>
        <w:pStyle w:val="BasicParagraph"/>
        <w:numPr>
          <w:ilvl w:val="0"/>
          <w:numId w:val="14"/>
        </w:numPr>
        <w:suppressAutoHyphens/>
        <w:spacing w:after="180"/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</w:pPr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Cessation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d'emploi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:</w:t>
      </w:r>
      <w:r w:rsid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membres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résiliés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régimes REER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auront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la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possibilité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retirer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une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partie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la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totalité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leur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fonds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REER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espèces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Le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montant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retiré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sera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inclus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dans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revenu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imposable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l'employé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l'année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tout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montant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retiré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espèces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sera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imposé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taux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marginal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d'imposition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 plus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élevé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du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membre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quittent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un RPDB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pourront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transférer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leurs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fonds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dans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un régime REER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individuel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puis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effectuer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un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espèces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du REER.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quittent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un RRCD ne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pourront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effectuer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un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espèces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si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une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partie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leur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solde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régime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n'est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immobilisée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(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cotisations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versées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avant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 1er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janvier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1991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Colombie-Britannique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).</w:t>
      </w:r>
      <w:r w:rsidRP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</w:p>
    <w:p w14:paraId="5116D4DC" w14:textId="6951B2E2" w:rsidR="00FD19B0" w:rsidRPr="007B4548" w:rsidRDefault="002077B5" w:rsidP="007B4548">
      <w:pPr>
        <w:pStyle w:val="BasicParagraph"/>
        <w:numPr>
          <w:ilvl w:val="0"/>
          <w:numId w:val="14"/>
        </w:numPr>
        <w:suppressAutoHyphens/>
        <w:spacing w:after="180"/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</w:pP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Employés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mis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à pied </w:t>
      </w:r>
      <w:proofErr w:type="spellStart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temporairement</w:t>
      </w:r>
      <w:proofErr w:type="spellEnd"/>
      <w:r w:rsidRPr="002077B5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>:</w:t>
      </w:r>
      <w:r w:rsidR="007B4548">
        <w:rPr>
          <w:rFonts w:asciiTheme="minorHAnsi" w:hAnsiTheme="minorHAnsi" w:cstheme="minorHAnsi"/>
          <w:b/>
          <w:color w:val="263746"/>
          <w:spacing w:val="-2"/>
          <w:sz w:val="20"/>
          <w:szCs w:val="20"/>
        </w:rPr>
        <w:t xml:space="preserve"> </w:t>
      </w:r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l'instar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d'un régime REER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employeurs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parrainent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régimes REER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collectifs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peuvent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souhaiter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renoncer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aux restrictions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employés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mis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pied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temporairement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.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membres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régimes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mis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pied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temporairement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n'auront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accès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leurs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comptes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espèces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.</w:t>
      </w:r>
    </w:p>
    <w:p w14:paraId="6C986821" w14:textId="77777777" w:rsidR="007B4548" w:rsidRPr="007B4548" w:rsidRDefault="007B4548" w:rsidP="007B4548">
      <w:pPr>
        <w:pStyle w:val="BasicParagraph"/>
        <w:suppressAutoHyphens/>
        <w:spacing w:after="180"/>
        <w:ind w:left="270"/>
        <w:rPr>
          <w:rFonts w:asciiTheme="minorHAnsi" w:hAnsiTheme="minorHAnsi" w:cstheme="minorHAnsi"/>
          <w:color w:val="263746"/>
          <w:spacing w:val="-2"/>
          <w:sz w:val="20"/>
          <w:szCs w:val="20"/>
        </w:rPr>
      </w:pPr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Bien que nous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croyions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que les régimes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d'épargne-retraite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censés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être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utilisés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comme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moyens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d’épargne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long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terme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et que nous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mettions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fortement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garde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contre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toute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politique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ouvre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l'accès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l'épargne-retraite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Canadiens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nous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reconnaissons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que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gouvernements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pourraient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souhaiter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envisager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exceptions pour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personnes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les plus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durement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touchées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par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la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crise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ou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ceux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ne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peuvent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avoir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accès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des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fonds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secours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provenant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d'autres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sources.</w:t>
      </w:r>
    </w:p>
    <w:p w14:paraId="31B555F1" w14:textId="7B1939FE" w:rsidR="00D13D55" w:rsidRDefault="007B4548" w:rsidP="007B4548">
      <w:pPr>
        <w:pStyle w:val="BasicParagraph"/>
        <w:suppressAutoHyphens/>
        <w:spacing w:after="180"/>
        <w:ind w:left="270"/>
        <w:rPr>
          <w:rFonts w:asciiTheme="minorHAnsi" w:hAnsiTheme="minorHAnsi" w:cstheme="minorHAnsi"/>
          <w:color w:val="263746"/>
          <w:spacing w:val="-2"/>
          <w:sz w:val="20"/>
          <w:szCs w:val="20"/>
        </w:rPr>
      </w:pPr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Si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vous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avez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des questions sur les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règles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qui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s'appliquent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à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votre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régime de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retraite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,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n'hésitez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pas à nous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contacter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 xml:space="preserve"> pour des </w:t>
      </w:r>
      <w:proofErr w:type="spellStart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éclaircissements</w:t>
      </w:r>
      <w:proofErr w:type="spellEnd"/>
      <w:r w:rsidRPr="007B4548">
        <w:rPr>
          <w:rFonts w:asciiTheme="minorHAnsi" w:hAnsiTheme="minorHAnsi" w:cstheme="minorHAnsi"/>
          <w:color w:val="263746"/>
          <w:spacing w:val="-2"/>
          <w:sz w:val="20"/>
          <w:szCs w:val="20"/>
        </w:rPr>
        <w:t>.</w:t>
      </w:r>
    </w:p>
    <w:sectPr w:rsidR="00D13D55" w:rsidSect="00D6256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72" w:right="2246" w:bottom="1440" w:left="720" w:header="69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3E637" w14:textId="77777777" w:rsidR="00107B74" w:rsidRDefault="00107B74" w:rsidP="00AA768D">
      <w:pPr>
        <w:spacing w:after="0" w:line="240" w:lineRule="auto"/>
      </w:pPr>
      <w:r>
        <w:separator/>
      </w:r>
    </w:p>
  </w:endnote>
  <w:endnote w:type="continuationSeparator" w:id="0">
    <w:p w14:paraId="5457F799" w14:textId="77777777" w:rsidR="00107B74" w:rsidRDefault="00107B74" w:rsidP="00AA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lac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7DEEC" w14:textId="5C46957A" w:rsidR="005F6EF1" w:rsidRPr="000A7C3A" w:rsidRDefault="004F5D29" w:rsidP="000133A6">
    <w:pPr>
      <w:pStyle w:val="Footer"/>
      <w:ind w:right="360"/>
      <w:rPr>
        <w:color w:val="FFFFFF" w:themeColor="background1"/>
      </w:rPr>
    </w:pPr>
    <w:r>
      <w:rPr>
        <w:rFonts w:ascii="Gotham Black" w:hAnsi="Gotham Black"/>
        <w:b/>
        <w:bCs/>
        <w:noProof/>
        <w:color w:val="263845" w:themeColor="text1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A8AE338" wp14:editId="1AE14BC7">
              <wp:simplePos x="0" y="0"/>
              <wp:positionH relativeFrom="column">
                <wp:posOffset>66676</wp:posOffset>
              </wp:positionH>
              <wp:positionV relativeFrom="paragraph">
                <wp:posOffset>56514</wp:posOffset>
              </wp:positionV>
              <wp:extent cx="1714500" cy="257175"/>
              <wp:effectExtent l="0" t="0" r="0" b="9525"/>
              <wp:wrapNone/>
              <wp:docPr id="185" name="Text Box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4B6AA" w14:textId="77777777" w:rsidR="005F6EF1" w:rsidRPr="006E5B9D" w:rsidRDefault="005F6EF1" w:rsidP="005F6EF1">
                          <w:pPr>
                            <w:rPr>
                              <w:rFonts w:ascii="Gotham Black" w:hAnsi="Gotham Black"/>
                              <w:b/>
                              <w:bCs/>
                              <w:color w:val="263845" w:themeColor="text1"/>
                              <w:sz w:val="18"/>
                              <w:szCs w:val="18"/>
                            </w:rPr>
                          </w:pPr>
                          <w:r w:rsidRPr="006E5B9D">
                            <w:rPr>
                              <w:rFonts w:ascii="Gotham Black" w:hAnsi="Gotham Black"/>
                              <w:b/>
                              <w:bCs/>
                              <w:color w:val="263845" w:themeColor="text1"/>
                              <w:sz w:val="18"/>
                              <w:szCs w:val="18"/>
                            </w:rPr>
                            <w:t>hubinternational.com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AE338" id="_x0000_t202" coordsize="21600,21600" o:spt="202" path="m,l,21600r21600,l21600,xe">
              <v:stroke joinstyle="miter"/>
              <v:path gradientshapeok="t" o:connecttype="rect"/>
            </v:shapetype>
            <v:shape id="Text Box 185" o:spid="_x0000_s1028" type="#_x0000_t202" style="position:absolute;margin-left:5.25pt;margin-top:4.45pt;width:13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" filled="f" stroked="f">
              <v:textbox>
                <w:txbxContent>
                  <w:p w14:paraId="1404B6AA" w14:textId="77777777" w:rsidR="005F6EF1" w:rsidRPr="006E5B9D" w:rsidRDefault="005F6EF1" w:rsidP="005F6EF1">
                    <w:pPr>
                      <w:rPr>
                        <w:rFonts w:ascii="Gotham Black" w:hAnsi="Gotham Black"/>
                        <w:b/>
                        <w:bCs/>
                        <w:color w:val="263845" w:themeColor="text1"/>
                        <w:sz w:val="18"/>
                        <w:szCs w:val="18"/>
                      </w:rPr>
                    </w:pPr>
                    <w:r w:rsidRPr="006E5B9D">
                      <w:rPr>
                        <w:rFonts w:ascii="Gotham Black" w:hAnsi="Gotham Black"/>
                        <w:b/>
                        <w:bCs/>
                        <w:color w:val="263845" w:themeColor="text1"/>
                        <w:sz w:val="18"/>
                        <w:szCs w:val="18"/>
                      </w:rPr>
                      <w:t>hubinternational.com</w:t>
                    </w:r>
                  </w:p>
                </w:txbxContent>
              </v:textbox>
            </v:shape>
          </w:pict>
        </mc:Fallback>
      </mc:AlternateContent>
    </w:r>
    <w:r w:rsidR="005F6EF1" w:rsidRPr="00694CF3">
      <w:rPr>
        <w:rFonts w:ascii="Gotham Black" w:hAnsi="Gotham Black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89984" behindDoc="1" locked="0" layoutInCell="1" allowOverlap="1" wp14:anchorId="0782D3AA" wp14:editId="72A9982D">
          <wp:simplePos x="0" y="0"/>
          <wp:positionH relativeFrom="column">
            <wp:posOffset>-500380</wp:posOffset>
          </wp:positionH>
          <wp:positionV relativeFrom="page">
            <wp:posOffset>9145270</wp:posOffset>
          </wp:positionV>
          <wp:extent cx="6154420" cy="281305"/>
          <wp:effectExtent l="0" t="0" r="0" b="0"/>
          <wp:wrapNone/>
          <wp:docPr id="6" name="Picture 6" descr="../HUB-DDS-Assets/Dot%20Matrix%20Pattern/Dot-Matrix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../HUB-DDS-Assets/Dot%20Matrix%20Pattern/Dot-Matrix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15442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EF1" w:rsidRPr="00DF38C5">
      <w:rPr>
        <w:rFonts w:ascii="Gotham Black" w:hAnsi="Gotham Black"/>
        <w:b/>
        <w:bCs/>
        <w:noProof/>
        <w:color w:val="263845" w:themeColor="text1"/>
      </w:rPr>
      <w:drawing>
        <wp:anchor distT="0" distB="0" distL="114300" distR="114300" simplePos="0" relativeHeight="251687936" behindDoc="0" locked="0" layoutInCell="1" allowOverlap="1" wp14:anchorId="2153B035" wp14:editId="79E05463">
          <wp:simplePos x="0" y="0"/>
          <wp:positionH relativeFrom="column">
            <wp:posOffset>5787390</wp:posOffset>
          </wp:positionH>
          <wp:positionV relativeFrom="paragraph">
            <wp:posOffset>-861060</wp:posOffset>
          </wp:positionV>
          <wp:extent cx="1371600" cy="1371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HUB-Vertical-Full-Colour-RGB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B7DDC" w14:textId="5CA1ABEE" w:rsidR="00E90B22" w:rsidRPr="000133A6" w:rsidRDefault="00E90B22" w:rsidP="000133A6">
    <w:pPr>
      <w:pStyle w:val="Footer"/>
      <w:ind w:right="360"/>
      <w:rPr>
        <w:color w:val="263845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C874D" w14:textId="77777777" w:rsidR="00107B74" w:rsidRDefault="00107B74" w:rsidP="00AA768D">
      <w:pPr>
        <w:spacing w:after="0" w:line="240" w:lineRule="auto"/>
      </w:pPr>
      <w:r>
        <w:separator/>
      </w:r>
    </w:p>
  </w:footnote>
  <w:footnote w:type="continuationSeparator" w:id="0">
    <w:p w14:paraId="48E672B8" w14:textId="77777777" w:rsidR="00107B74" w:rsidRDefault="00107B74" w:rsidP="00AA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BC042" w14:textId="6D9A9E17" w:rsidR="005F6EF1" w:rsidRPr="005F6EF1" w:rsidRDefault="005F6EF1" w:rsidP="005F6EF1">
    <w:pPr>
      <w:pStyle w:val="Header"/>
      <w:framePr w:w="6550" w:wrap="none" w:vAnchor="text" w:hAnchor="page" w:x="4782" w:y="-143"/>
      <w:jc w:val="right"/>
      <w:rPr>
        <w:rStyle w:val="PageNumber"/>
        <w:rFonts w:ascii="Gotham Black" w:hAnsi="Gotham Black"/>
        <w:b/>
        <w:bCs/>
        <w:color w:val="FFFFFF" w:themeColor="background1"/>
        <w:sz w:val="18"/>
        <w:szCs w:val="18"/>
      </w:rPr>
    </w:pPr>
    <w:r w:rsidRPr="005F6EF1">
      <w:rPr>
        <w:rStyle w:val="PageNumber"/>
        <w:rFonts w:ascii="Gotham Black" w:hAnsi="Gotham Black"/>
        <w:b/>
        <w:bCs/>
        <w:color w:val="F0B937" w:themeColor="accent1"/>
        <w:sz w:val="18"/>
        <w:szCs w:val="18"/>
      </w:rPr>
      <w:t xml:space="preserve">| </w:t>
    </w:r>
    <w:r w:rsidRPr="005F6EF1">
      <w:rPr>
        <w:rStyle w:val="PageNumber"/>
        <w:rFonts w:ascii="Gotham Black" w:hAnsi="Gotham Black"/>
        <w:b/>
        <w:bCs/>
        <w:color w:val="FFFFFF" w:themeColor="background1"/>
        <w:sz w:val="18"/>
        <w:szCs w:val="18"/>
      </w:rPr>
      <w:t xml:space="preserve">  </w:t>
    </w:r>
    <w:r w:rsidRPr="005F6EF1">
      <w:rPr>
        <w:rStyle w:val="PageNumber"/>
        <w:rFonts w:ascii="Gotham Black" w:hAnsi="Gotham Black"/>
        <w:b/>
        <w:bCs/>
        <w:color w:val="FFFFFF" w:themeColor="background1"/>
        <w:sz w:val="18"/>
        <w:szCs w:val="18"/>
      </w:rPr>
      <w:fldChar w:fldCharType="begin"/>
    </w:r>
    <w:r w:rsidRPr="005F6EF1">
      <w:rPr>
        <w:rStyle w:val="PageNumber"/>
        <w:rFonts w:ascii="Gotham Black" w:hAnsi="Gotham Black"/>
        <w:b/>
        <w:bCs/>
        <w:color w:val="FFFFFF" w:themeColor="background1"/>
        <w:sz w:val="18"/>
        <w:szCs w:val="18"/>
      </w:rPr>
      <w:instrText xml:space="preserve">PAGE  </w:instrText>
    </w:r>
    <w:r w:rsidRPr="005F6EF1">
      <w:rPr>
        <w:rStyle w:val="PageNumber"/>
        <w:rFonts w:ascii="Gotham Black" w:hAnsi="Gotham Black"/>
        <w:b/>
        <w:bCs/>
        <w:color w:val="FFFFFF" w:themeColor="background1"/>
        <w:sz w:val="18"/>
        <w:szCs w:val="18"/>
      </w:rPr>
      <w:fldChar w:fldCharType="separate"/>
    </w:r>
    <w:r w:rsidR="002A63F5">
      <w:rPr>
        <w:rStyle w:val="PageNumber"/>
        <w:rFonts w:ascii="Gotham Black" w:hAnsi="Gotham Black"/>
        <w:b/>
        <w:bCs/>
        <w:noProof/>
        <w:color w:val="FFFFFF" w:themeColor="background1"/>
        <w:sz w:val="18"/>
        <w:szCs w:val="18"/>
      </w:rPr>
      <w:t>1</w:t>
    </w:r>
    <w:r w:rsidRPr="005F6EF1">
      <w:rPr>
        <w:rStyle w:val="PageNumber"/>
        <w:rFonts w:ascii="Gotham Black" w:hAnsi="Gotham Black"/>
        <w:b/>
        <w:bCs/>
        <w:color w:val="FFFFFF" w:themeColor="background1"/>
        <w:sz w:val="18"/>
        <w:szCs w:val="18"/>
      </w:rPr>
      <w:fldChar w:fldCharType="end"/>
    </w:r>
  </w:p>
  <w:p w14:paraId="4FC83181" w14:textId="6044AC6A" w:rsidR="005F6EF1" w:rsidRPr="000133A6" w:rsidRDefault="00BC234C" w:rsidP="005F6EF1">
    <w:pPr>
      <w:pStyle w:val="Header"/>
      <w:tabs>
        <w:tab w:val="clear" w:pos="4680"/>
        <w:tab w:val="clear" w:pos="9360"/>
        <w:tab w:val="center" w:pos="4860"/>
      </w:tabs>
      <w:ind w:right="360"/>
      <w:rPr>
        <w:b/>
        <w:color w:val="263845" w:themeColor="text1"/>
        <w:sz w:val="24"/>
        <w:szCs w:val="24"/>
      </w:rPr>
    </w:pPr>
    <w:r w:rsidRPr="004F5D29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720192" behindDoc="0" locked="0" layoutInCell="1" allowOverlap="1" wp14:anchorId="4597477B" wp14:editId="3EAA2A9E">
              <wp:simplePos x="0" y="0"/>
              <wp:positionH relativeFrom="page">
                <wp:posOffset>6105525</wp:posOffset>
              </wp:positionH>
              <wp:positionV relativeFrom="paragraph">
                <wp:posOffset>292735</wp:posOffset>
              </wp:positionV>
              <wp:extent cx="1228725" cy="266700"/>
              <wp:effectExtent l="0" t="0" r="952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661C" w14:textId="22D15579" w:rsidR="00BC234C" w:rsidRPr="00C50482" w:rsidRDefault="00C50482" w:rsidP="00AB152C">
                          <w:pPr>
                            <w:jc w:val="right"/>
                            <w:rPr>
                              <w:rFonts w:cstheme="minorHAnsi"/>
                              <w:bCs/>
                              <w:color w:val="263845" w:themeColor="text1"/>
                              <w:sz w:val="18"/>
                              <w:szCs w:val="18"/>
                              <w:lang w:val="en-CA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color w:val="263845" w:themeColor="text1"/>
                              <w:sz w:val="18"/>
                              <w:szCs w:val="18"/>
                              <w:lang w:val="en-CA"/>
                            </w:rPr>
                            <w:t>April 14,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747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0.75pt;margin-top:23.05pt;width:96.75pt;height:21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" stroked="f">
              <v:textbox>
                <w:txbxContent>
                  <w:p w14:paraId="48EA661C" w14:textId="22D15579" w:rsidR="00BC234C" w:rsidRPr="00C50482" w:rsidRDefault="00C50482" w:rsidP="00AB152C">
                    <w:pPr>
                      <w:jc w:val="right"/>
                      <w:rPr>
                        <w:rFonts w:cstheme="minorHAnsi"/>
                        <w:bCs/>
                        <w:color w:val="263845" w:themeColor="text1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cstheme="minorHAnsi"/>
                        <w:bCs/>
                        <w:color w:val="263845" w:themeColor="text1"/>
                        <w:sz w:val="18"/>
                        <w:szCs w:val="18"/>
                        <w:lang w:val="en-CA"/>
                      </w:rPr>
                      <w:t>April 14, 2020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F6EF1" w:rsidRPr="00694CF3">
      <w:rPr>
        <w:rFonts w:ascii="Gotham Black" w:hAnsi="Gotham Black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716096" behindDoc="1" locked="0" layoutInCell="1" allowOverlap="1" wp14:anchorId="62B5C7EE" wp14:editId="763266A4">
          <wp:simplePos x="0" y="0"/>
          <wp:positionH relativeFrom="column">
            <wp:posOffset>-457200</wp:posOffset>
          </wp:positionH>
          <wp:positionV relativeFrom="page">
            <wp:posOffset>113665</wp:posOffset>
          </wp:positionV>
          <wp:extent cx="1120115" cy="457200"/>
          <wp:effectExtent l="0" t="0" r="0" b="0"/>
          <wp:wrapNone/>
          <wp:docPr id="5" name="Picture 5" descr="../HUB-DDS-Assets/Dot%20Matrix%20Pattern/Dot-Matrix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../HUB-DDS-Assets/Dot%20Matrix%20Pattern/Dot-Matrix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20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EF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29C260FB" wp14:editId="7FA18CA9">
              <wp:simplePos x="0" y="0"/>
              <wp:positionH relativeFrom="column">
                <wp:posOffset>-457200</wp:posOffset>
              </wp:positionH>
              <wp:positionV relativeFrom="page">
                <wp:posOffset>0</wp:posOffset>
              </wp:positionV>
              <wp:extent cx="7772400" cy="685800"/>
              <wp:effectExtent l="0" t="0" r="0" b="0"/>
              <wp:wrapNone/>
              <wp:docPr id="177" name="Rectangle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  <a:solidFill>
                        <a:srgbClr val="0678D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1742E" id="Rectangle 177" o:spid="_x0000_s1026" style="position:absolute;margin-left:-36pt;margin-top:0;width:612pt;height:5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" fillcolor="#0678d5" stroked="f" strokeweight="2pt">
              <w10:wrap anchory="page"/>
            </v:rect>
          </w:pict>
        </mc:Fallback>
      </mc:AlternateContent>
    </w:r>
    <w:r w:rsidR="005F6EF1">
      <w:rPr>
        <w:b/>
        <w:color w:val="263845" w:themeColor="text1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626D6" w14:textId="77777777" w:rsidR="00E90B22" w:rsidRDefault="00E90B22" w:rsidP="00AE616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E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CA9559" w14:textId="5DED7299" w:rsidR="00E90B22" w:rsidRPr="00E90B22" w:rsidRDefault="00E90B22" w:rsidP="00E90B22">
    <w:pPr>
      <w:pStyle w:val="Header"/>
      <w:framePr w:h="1134" w:hRule="exact" w:wrap="auto" w:hAnchor="text"/>
      <w:ind w:right="360"/>
      <w:rPr>
        <w:b/>
        <w:color w:val="263845" w:themeColor="text1"/>
        <w:sz w:val="20"/>
        <w:szCs w:val="20"/>
      </w:rPr>
    </w:pPr>
    <w:r w:rsidRPr="00E90B22">
      <w:rPr>
        <w:b/>
        <w:color w:val="263845" w:themeColor="text1"/>
        <w:sz w:val="20"/>
        <w:szCs w:val="20"/>
      </w:rPr>
      <w:t>Title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104"/>
    <w:multiLevelType w:val="hybridMultilevel"/>
    <w:tmpl w:val="013A7070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09984B07"/>
    <w:multiLevelType w:val="hybridMultilevel"/>
    <w:tmpl w:val="37CE5726"/>
    <w:lvl w:ilvl="0" w:tplc="489C1F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4548"/>
    <w:multiLevelType w:val="hybridMultilevel"/>
    <w:tmpl w:val="E4CE3E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9D4"/>
    <w:multiLevelType w:val="hybridMultilevel"/>
    <w:tmpl w:val="EEA02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A515B9"/>
    <w:multiLevelType w:val="hybridMultilevel"/>
    <w:tmpl w:val="188ABB6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91C7778"/>
    <w:multiLevelType w:val="hybridMultilevel"/>
    <w:tmpl w:val="B8D692E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883524"/>
    <w:multiLevelType w:val="hybridMultilevel"/>
    <w:tmpl w:val="EF9246AE"/>
    <w:lvl w:ilvl="0" w:tplc="2A904DD2">
      <w:start w:val="2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A761D54"/>
    <w:multiLevelType w:val="hybridMultilevel"/>
    <w:tmpl w:val="46D4C7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77A9C"/>
    <w:multiLevelType w:val="hybridMultilevel"/>
    <w:tmpl w:val="4328C28C"/>
    <w:lvl w:ilvl="0" w:tplc="9F1802A2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67613FBA"/>
    <w:multiLevelType w:val="hybridMultilevel"/>
    <w:tmpl w:val="E2E054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A1C58C5"/>
    <w:multiLevelType w:val="hybridMultilevel"/>
    <w:tmpl w:val="A72A979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3C02FFA">
      <w:numFmt w:val="bullet"/>
      <w:lvlText w:val="•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B651924"/>
    <w:multiLevelType w:val="hybridMultilevel"/>
    <w:tmpl w:val="52F28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3D7E2A"/>
    <w:multiLevelType w:val="hybridMultilevel"/>
    <w:tmpl w:val="A5F2B702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3" w15:restartNumberingAfterBreak="0">
    <w:nsid w:val="7FC90BF5"/>
    <w:multiLevelType w:val="hybridMultilevel"/>
    <w:tmpl w:val="E9D89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8D"/>
    <w:rsid w:val="00004EED"/>
    <w:rsid w:val="000133A6"/>
    <w:rsid w:val="00035B9D"/>
    <w:rsid w:val="00042AB0"/>
    <w:rsid w:val="000479FD"/>
    <w:rsid w:val="000519BB"/>
    <w:rsid w:val="00057F4C"/>
    <w:rsid w:val="00061B7C"/>
    <w:rsid w:val="00063F45"/>
    <w:rsid w:val="0007258D"/>
    <w:rsid w:val="00074A52"/>
    <w:rsid w:val="000A5C3B"/>
    <w:rsid w:val="000A7C3A"/>
    <w:rsid w:val="000C4591"/>
    <w:rsid w:val="000C5F8B"/>
    <w:rsid w:val="000F685E"/>
    <w:rsid w:val="001004EA"/>
    <w:rsid w:val="001013E6"/>
    <w:rsid w:val="0010140A"/>
    <w:rsid w:val="00106904"/>
    <w:rsid w:val="00107B74"/>
    <w:rsid w:val="00107DEB"/>
    <w:rsid w:val="001102AB"/>
    <w:rsid w:val="00116444"/>
    <w:rsid w:val="001209C7"/>
    <w:rsid w:val="00121439"/>
    <w:rsid w:val="0012408D"/>
    <w:rsid w:val="00131F72"/>
    <w:rsid w:val="00147DFC"/>
    <w:rsid w:val="001556FD"/>
    <w:rsid w:val="001672BF"/>
    <w:rsid w:val="00181183"/>
    <w:rsid w:val="00193923"/>
    <w:rsid w:val="0019602C"/>
    <w:rsid w:val="001A4992"/>
    <w:rsid w:val="001A57D7"/>
    <w:rsid w:val="001C09BA"/>
    <w:rsid w:val="001C327F"/>
    <w:rsid w:val="001D4E0C"/>
    <w:rsid w:val="001D7125"/>
    <w:rsid w:val="001E0EDE"/>
    <w:rsid w:val="001E2EB9"/>
    <w:rsid w:val="001F2347"/>
    <w:rsid w:val="001F5BE8"/>
    <w:rsid w:val="0020056A"/>
    <w:rsid w:val="00205DB8"/>
    <w:rsid w:val="002077B5"/>
    <w:rsid w:val="00216CF2"/>
    <w:rsid w:val="00226FD0"/>
    <w:rsid w:val="00237C57"/>
    <w:rsid w:val="0024171D"/>
    <w:rsid w:val="00254EE3"/>
    <w:rsid w:val="002563B4"/>
    <w:rsid w:val="0025702A"/>
    <w:rsid w:val="00260DAB"/>
    <w:rsid w:val="00262C71"/>
    <w:rsid w:val="0026640B"/>
    <w:rsid w:val="0028145B"/>
    <w:rsid w:val="00282273"/>
    <w:rsid w:val="0029028A"/>
    <w:rsid w:val="002A6357"/>
    <w:rsid w:val="002A63F5"/>
    <w:rsid w:val="002A77EA"/>
    <w:rsid w:val="002B29D9"/>
    <w:rsid w:val="002B685F"/>
    <w:rsid w:val="002B6CAB"/>
    <w:rsid w:val="002B7B88"/>
    <w:rsid w:val="002C3777"/>
    <w:rsid w:val="002E1908"/>
    <w:rsid w:val="00306A04"/>
    <w:rsid w:val="003140A8"/>
    <w:rsid w:val="003363A3"/>
    <w:rsid w:val="003516E2"/>
    <w:rsid w:val="00354282"/>
    <w:rsid w:val="00360815"/>
    <w:rsid w:val="00361EA2"/>
    <w:rsid w:val="00363E15"/>
    <w:rsid w:val="0038143B"/>
    <w:rsid w:val="0039174B"/>
    <w:rsid w:val="00394C2D"/>
    <w:rsid w:val="003A5057"/>
    <w:rsid w:val="003B2465"/>
    <w:rsid w:val="003B5D4B"/>
    <w:rsid w:val="003C1950"/>
    <w:rsid w:val="003C2D15"/>
    <w:rsid w:val="003C62C8"/>
    <w:rsid w:val="003D68AC"/>
    <w:rsid w:val="003F49FA"/>
    <w:rsid w:val="003F593B"/>
    <w:rsid w:val="004043B9"/>
    <w:rsid w:val="00413EE6"/>
    <w:rsid w:val="00426D63"/>
    <w:rsid w:val="00435F45"/>
    <w:rsid w:val="00441541"/>
    <w:rsid w:val="004460C7"/>
    <w:rsid w:val="004737D0"/>
    <w:rsid w:val="00473C67"/>
    <w:rsid w:val="0047435E"/>
    <w:rsid w:val="00496268"/>
    <w:rsid w:val="004A0792"/>
    <w:rsid w:val="004A1848"/>
    <w:rsid w:val="004B4CE2"/>
    <w:rsid w:val="004C13AB"/>
    <w:rsid w:val="004C5162"/>
    <w:rsid w:val="004E0A5B"/>
    <w:rsid w:val="004F10FD"/>
    <w:rsid w:val="004F5D29"/>
    <w:rsid w:val="0051787F"/>
    <w:rsid w:val="005240EE"/>
    <w:rsid w:val="0052750A"/>
    <w:rsid w:val="005370B1"/>
    <w:rsid w:val="00537C95"/>
    <w:rsid w:val="00542A4A"/>
    <w:rsid w:val="00546E31"/>
    <w:rsid w:val="00565DFD"/>
    <w:rsid w:val="00566D23"/>
    <w:rsid w:val="00574547"/>
    <w:rsid w:val="00576389"/>
    <w:rsid w:val="005775B1"/>
    <w:rsid w:val="005A13FF"/>
    <w:rsid w:val="005A1A64"/>
    <w:rsid w:val="005A3579"/>
    <w:rsid w:val="005A7368"/>
    <w:rsid w:val="005B16E0"/>
    <w:rsid w:val="005B7A78"/>
    <w:rsid w:val="005C1992"/>
    <w:rsid w:val="005C3E45"/>
    <w:rsid w:val="005D141F"/>
    <w:rsid w:val="005D61D9"/>
    <w:rsid w:val="005E23E8"/>
    <w:rsid w:val="005F4E62"/>
    <w:rsid w:val="005F55E5"/>
    <w:rsid w:val="005F68C8"/>
    <w:rsid w:val="005F6EF1"/>
    <w:rsid w:val="006126D2"/>
    <w:rsid w:val="00621138"/>
    <w:rsid w:val="00624771"/>
    <w:rsid w:val="00627592"/>
    <w:rsid w:val="006309D8"/>
    <w:rsid w:val="00652ECD"/>
    <w:rsid w:val="006632F0"/>
    <w:rsid w:val="00684774"/>
    <w:rsid w:val="006854EB"/>
    <w:rsid w:val="006A07A9"/>
    <w:rsid w:val="006A15AF"/>
    <w:rsid w:val="006B4A3D"/>
    <w:rsid w:val="006B76FB"/>
    <w:rsid w:val="006D748D"/>
    <w:rsid w:val="006D75DB"/>
    <w:rsid w:val="006E4047"/>
    <w:rsid w:val="00705A80"/>
    <w:rsid w:val="00747337"/>
    <w:rsid w:val="00752338"/>
    <w:rsid w:val="007725EF"/>
    <w:rsid w:val="007817C1"/>
    <w:rsid w:val="00794EDA"/>
    <w:rsid w:val="007B4548"/>
    <w:rsid w:val="007B5CC5"/>
    <w:rsid w:val="007B7A63"/>
    <w:rsid w:val="007C6884"/>
    <w:rsid w:val="007D4ECA"/>
    <w:rsid w:val="007F1B9A"/>
    <w:rsid w:val="007F2FD8"/>
    <w:rsid w:val="007F3AA6"/>
    <w:rsid w:val="007F5691"/>
    <w:rsid w:val="00812805"/>
    <w:rsid w:val="008336E8"/>
    <w:rsid w:val="00840FAA"/>
    <w:rsid w:val="008540AE"/>
    <w:rsid w:val="0085575F"/>
    <w:rsid w:val="0086057A"/>
    <w:rsid w:val="00873238"/>
    <w:rsid w:val="00890757"/>
    <w:rsid w:val="008914F4"/>
    <w:rsid w:val="00897CE7"/>
    <w:rsid w:val="008A007A"/>
    <w:rsid w:val="008A1F2D"/>
    <w:rsid w:val="008A6692"/>
    <w:rsid w:val="008B7872"/>
    <w:rsid w:val="008C24D7"/>
    <w:rsid w:val="008E6C9A"/>
    <w:rsid w:val="008F502C"/>
    <w:rsid w:val="009026F2"/>
    <w:rsid w:val="0090524A"/>
    <w:rsid w:val="00913D51"/>
    <w:rsid w:val="00916680"/>
    <w:rsid w:val="00943309"/>
    <w:rsid w:val="00943381"/>
    <w:rsid w:val="009436F9"/>
    <w:rsid w:val="009718DE"/>
    <w:rsid w:val="00973C3D"/>
    <w:rsid w:val="009825F8"/>
    <w:rsid w:val="009B3289"/>
    <w:rsid w:val="009B49C0"/>
    <w:rsid w:val="009B63D4"/>
    <w:rsid w:val="009D1901"/>
    <w:rsid w:val="009D6B62"/>
    <w:rsid w:val="009E7FFC"/>
    <w:rsid w:val="009F5CCC"/>
    <w:rsid w:val="00A0511C"/>
    <w:rsid w:val="00A10048"/>
    <w:rsid w:val="00A16DED"/>
    <w:rsid w:val="00A3540C"/>
    <w:rsid w:val="00A43688"/>
    <w:rsid w:val="00A67428"/>
    <w:rsid w:val="00A71335"/>
    <w:rsid w:val="00A8378D"/>
    <w:rsid w:val="00A91362"/>
    <w:rsid w:val="00A9188D"/>
    <w:rsid w:val="00AA768D"/>
    <w:rsid w:val="00AB152C"/>
    <w:rsid w:val="00AB262F"/>
    <w:rsid w:val="00AB42A8"/>
    <w:rsid w:val="00AC00AF"/>
    <w:rsid w:val="00AC1281"/>
    <w:rsid w:val="00B12D68"/>
    <w:rsid w:val="00B2183F"/>
    <w:rsid w:val="00B25BB5"/>
    <w:rsid w:val="00B27330"/>
    <w:rsid w:val="00B300DC"/>
    <w:rsid w:val="00B35D9A"/>
    <w:rsid w:val="00B377B5"/>
    <w:rsid w:val="00B44745"/>
    <w:rsid w:val="00B510EB"/>
    <w:rsid w:val="00B54DA8"/>
    <w:rsid w:val="00B604C2"/>
    <w:rsid w:val="00B64840"/>
    <w:rsid w:val="00B73D7A"/>
    <w:rsid w:val="00B74928"/>
    <w:rsid w:val="00B75D72"/>
    <w:rsid w:val="00B94EAA"/>
    <w:rsid w:val="00BA1D09"/>
    <w:rsid w:val="00BC1648"/>
    <w:rsid w:val="00BC234C"/>
    <w:rsid w:val="00BD607C"/>
    <w:rsid w:val="00BD6D99"/>
    <w:rsid w:val="00C02A9B"/>
    <w:rsid w:val="00C15DCE"/>
    <w:rsid w:val="00C16D1D"/>
    <w:rsid w:val="00C16EF9"/>
    <w:rsid w:val="00C23470"/>
    <w:rsid w:val="00C414E4"/>
    <w:rsid w:val="00C50482"/>
    <w:rsid w:val="00C51372"/>
    <w:rsid w:val="00C56F27"/>
    <w:rsid w:val="00C60A7D"/>
    <w:rsid w:val="00C6311C"/>
    <w:rsid w:val="00C77665"/>
    <w:rsid w:val="00C80ED2"/>
    <w:rsid w:val="00C81269"/>
    <w:rsid w:val="00C81F61"/>
    <w:rsid w:val="00C91157"/>
    <w:rsid w:val="00C929E9"/>
    <w:rsid w:val="00C94708"/>
    <w:rsid w:val="00CA25BE"/>
    <w:rsid w:val="00CA5ADB"/>
    <w:rsid w:val="00CA63F0"/>
    <w:rsid w:val="00CA684D"/>
    <w:rsid w:val="00CA7491"/>
    <w:rsid w:val="00CE1281"/>
    <w:rsid w:val="00CE2204"/>
    <w:rsid w:val="00D13D55"/>
    <w:rsid w:val="00D17826"/>
    <w:rsid w:val="00D201DC"/>
    <w:rsid w:val="00D421C3"/>
    <w:rsid w:val="00D53463"/>
    <w:rsid w:val="00D6256A"/>
    <w:rsid w:val="00D725A6"/>
    <w:rsid w:val="00DA60EC"/>
    <w:rsid w:val="00DA6F1F"/>
    <w:rsid w:val="00DC0A75"/>
    <w:rsid w:val="00DD1E0C"/>
    <w:rsid w:val="00DE034C"/>
    <w:rsid w:val="00DF4074"/>
    <w:rsid w:val="00E003ED"/>
    <w:rsid w:val="00E05BB0"/>
    <w:rsid w:val="00E07DC9"/>
    <w:rsid w:val="00E20A3B"/>
    <w:rsid w:val="00E33CC9"/>
    <w:rsid w:val="00E43300"/>
    <w:rsid w:val="00E53538"/>
    <w:rsid w:val="00E5593E"/>
    <w:rsid w:val="00E6330F"/>
    <w:rsid w:val="00E6369D"/>
    <w:rsid w:val="00E70409"/>
    <w:rsid w:val="00E85BB7"/>
    <w:rsid w:val="00E90B22"/>
    <w:rsid w:val="00EA40C2"/>
    <w:rsid w:val="00EB77D5"/>
    <w:rsid w:val="00EE433F"/>
    <w:rsid w:val="00EF3F16"/>
    <w:rsid w:val="00F02DB6"/>
    <w:rsid w:val="00F11801"/>
    <w:rsid w:val="00F1666A"/>
    <w:rsid w:val="00F17F82"/>
    <w:rsid w:val="00F219DF"/>
    <w:rsid w:val="00F27047"/>
    <w:rsid w:val="00F526F8"/>
    <w:rsid w:val="00F53935"/>
    <w:rsid w:val="00F74EFA"/>
    <w:rsid w:val="00F84258"/>
    <w:rsid w:val="00F9068E"/>
    <w:rsid w:val="00FA094D"/>
    <w:rsid w:val="00FA503F"/>
    <w:rsid w:val="00FA7C85"/>
    <w:rsid w:val="00FB15B8"/>
    <w:rsid w:val="00FD19B0"/>
    <w:rsid w:val="00FD3BAE"/>
    <w:rsid w:val="00FD6631"/>
    <w:rsid w:val="00FE01D1"/>
    <w:rsid w:val="00FF4BDA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4658B"/>
  <w15:docId w15:val="{8892AEBF-79AD-4A1E-861A-E672E0CB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68D"/>
  </w:style>
  <w:style w:type="paragraph" w:styleId="Footer">
    <w:name w:val="footer"/>
    <w:basedOn w:val="Normal"/>
    <w:link w:val="FooterChar"/>
    <w:uiPriority w:val="99"/>
    <w:unhideWhenUsed/>
    <w:rsid w:val="00AA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8D"/>
  </w:style>
  <w:style w:type="character" w:styleId="PageNumber">
    <w:name w:val="page number"/>
    <w:basedOn w:val="DefaultParagraphFont"/>
    <w:uiPriority w:val="99"/>
    <w:semiHidden/>
    <w:unhideWhenUsed/>
    <w:rsid w:val="00B604C2"/>
  </w:style>
  <w:style w:type="paragraph" w:customStyle="1" w:styleId="BasicParagraph">
    <w:name w:val="[Basic Paragraph]"/>
    <w:basedOn w:val="Normal"/>
    <w:uiPriority w:val="99"/>
    <w:rsid w:val="00B12D6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2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5E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5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72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5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0AF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0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263845"/>
      </a:dk1>
      <a:lt1>
        <a:srgbClr val="FFFFFF"/>
      </a:lt1>
      <a:dk2>
        <a:srgbClr val="167BD4"/>
      </a:dk2>
      <a:lt2>
        <a:srgbClr val="F3F5F1"/>
      </a:lt2>
      <a:accent1>
        <a:srgbClr val="F0B937"/>
      </a:accent1>
      <a:accent2>
        <a:srgbClr val="F0B937"/>
      </a:accent2>
      <a:accent3>
        <a:srgbClr val="167BD4"/>
      </a:accent3>
      <a:accent4>
        <a:srgbClr val="636466"/>
      </a:accent4>
      <a:accent5>
        <a:srgbClr val="167BD4"/>
      </a:accent5>
      <a:accent6>
        <a:srgbClr val="167BD4"/>
      </a:accent6>
      <a:hlink>
        <a:srgbClr val="167BD4"/>
      </a:hlink>
      <a:folHlink>
        <a:srgbClr val="2638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7BDF3A440D148B22F84E4AEB8991A" ma:contentTypeVersion="9" ma:contentTypeDescription="Create a new document." ma:contentTypeScope="" ma:versionID="77b89f3a6de132446b1467cc2333ba44">
  <xsd:schema xmlns:xsd="http://www.w3.org/2001/XMLSchema" xmlns:xs="http://www.w3.org/2001/XMLSchema" xmlns:p="http://schemas.microsoft.com/office/2006/metadata/properties" xmlns:ns3="e7c139db-98aa-44f6-89b5-13d7c1247612" xmlns:ns4="643f5227-e888-4025-84e8-eed9b1c18ff8" targetNamespace="http://schemas.microsoft.com/office/2006/metadata/properties" ma:root="true" ma:fieldsID="49d06b59208cdc49a37f07f5f11512e2" ns3:_="" ns4:_="">
    <xsd:import namespace="e7c139db-98aa-44f6-89b5-13d7c1247612"/>
    <xsd:import namespace="643f5227-e888-4025-84e8-eed9b1c18f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39db-98aa-44f6-89b5-13d7c1247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5227-e888-4025-84e8-eed9b1c18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AB628A-5D18-4C24-B316-F2E1ABD22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39db-98aa-44f6-89b5-13d7c1247612"/>
    <ds:schemaRef ds:uri="643f5227-e888-4025-84e8-eed9b1c18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37197-F514-4515-B71F-2A5CD1D30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3CDC9-A06B-45EC-9BD7-E13361225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805011-2EF7-41C3-853F-F2A64021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Porras, Clara</dc:creator>
  <cp:lastModifiedBy>Donna Yee</cp:lastModifiedBy>
  <cp:revision>5</cp:revision>
  <cp:lastPrinted>2020-01-21T18:45:00Z</cp:lastPrinted>
  <dcterms:created xsi:type="dcterms:W3CDTF">2020-04-14T19:29:00Z</dcterms:created>
  <dcterms:modified xsi:type="dcterms:W3CDTF">2020-04-14T19:39:00Z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0x0101002427BDF3A440D148B22F84E4AEB8991A</vt:lpwstr>
  </property>
</Properties>
</file>